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04F02" w14:textId="77777777" w:rsidR="007E5302" w:rsidRPr="007E5302" w:rsidRDefault="007E5302" w:rsidP="007E5302">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7E5302">
        <w:rPr>
          <w:rFonts w:ascii="Lato" w:eastAsia="Times New Roman" w:hAnsi="Lato" w:cs="Times New Roman"/>
          <w:color w:val="CC3300"/>
          <w:kern w:val="36"/>
          <w:sz w:val="36"/>
          <w:szCs w:val="36"/>
          <w:lang w:eastAsia="fr-BE"/>
          <w14:ligatures w14:val="none"/>
        </w:rPr>
        <w:t>Menace de pénurie pour l’hydroxyde de cobalt</w:t>
      </w:r>
    </w:p>
    <w:p w14:paraId="5DB50DC2" w14:textId="77777777" w:rsidR="007E5302" w:rsidRDefault="007E5302" w:rsidP="007E5302">
      <w:pPr>
        <w:shd w:val="clear" w:color="auto" w:fill="FFFFFF"/>
        <w:spacing w:before="75" w:after="75" w:line="240" w:lineRule="auto"/>
        <w:jc w:val="both"/>
        <w:rPr>
          <w:rFonts w:ascii="Lato" w:eastAsia="Times New Roman" w:hAnsi="Lato" w:cs="Times New Roman"/>
          <w:color w:val="3E001F"/>
          <w:kern w:val="0"/>
          <w:sz w:val="30"/>
          <w:szCs w:val="30"/>
          <w:lang w:eastAsia="fr-BE"/>
          <w14:ligatures w14:val="none"/>
        </w:rPr>
      </w:pPr>
    </w:p>
    <w:p w14:paraId="3A5EDA74" w14:textId="71296FDB" w:rsidR="007E5302" w:rsidRPr="007E5302" w:rsidRDefault="007E5302" w:rsidP="007E530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E5302">
        <w:rPr>
          <w:rFonts w:ascii="Lato" w:eastAsia="Times New Roman" w:hAnsi="Lato" w:cs="Times New Roman"/>
          <w:b/>
          <w:bCs/>
          <w:color w:val="000000"/>
          <w:kern w:val="0"/>
          <w:sz w:val="23"/>
          <w:szCs w:val="23"/>
          <w:lang w:eastAsia="fr-BE"/>
          <w14:ligatures w14:val="none"/>
        </w:rPr>
        <w:t>L’interruption des exportations de cobalt au départ de la République Démocratique du Congo a fait bondir les cours de l’hydroxyde et fait peser un risque fort de pénurie.</w:t>
      </w:r>
    </w:p>
    <w:p w14:paraId="63EF62E3" w14:textId="77777777" w:rsidR="007E5302" w:rsidRPr="007E5302" w:rsidRDefault="007E5302" w:rsidP="007E530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E5302">
        <w:rPr>
          <w:rFonts w:ascii="Lato" w:eastAsia="Times New Roman" w:hAnsi="Lato" w:cs="Times New Roman"/>
          <w:color w:val="000000"/>
          <w:kern w:val="0"/>
          <w:sz w:val="23"/>
          <w:szCs w:val="23"/>
          <w:lang w:eastAsia="fr-BE"/>
          <w14:ligatures w14:val="none"/>
        </w:rPr>
        <w:t> </w:t>
      </w:r>
    </w:p>
    <w:p w14:paraId="71B19AFE" w14:textId="77777777" w:rsidR="007E5302" w:rsidRPr="007E5302" w:rsidRDefault="007E5302" w:rsidP="007E530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E5302">
        <w:rPr>
          <w:rFonts w:ascii="Lato" w:eastAsia="Times New Roman" w:hAnsi="Lato" w:cs="Times New Roman"/>
          <w:b/>
          <w:bCs/>
          <w:color w:val="A52A2A"/>
          <w:kern w:val="0"/>
          <w:sz w:val="23"/>
          <w:szCs w:val="23"/>
          <w:lang w:eastAsia="fr-BE"/>
          <w14:ligatures w14:val="none"/>
        </w:rPr>
        <w:t>Cobalt : les stocks d’hydroxyde au plus bas</w:t>
      </w:r>
    </w:p>
    <w:p w14:paraId="4593FE21" w14:textId="77777777" w:rsidR="007E5302" w:rsidRPr="007E5302" w:rsidRDefault="007E5302" w:rsidP="007E530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E5302">
        <w:rPr>
          <w:rFonts w:ascii="Lato" w:eastAsia="Times New Roman" w:hAnsi="Lato" w:cs="Times New Roman"/>
          <w:color w:val="000000"/>
          <w:kern w:val="0"/>
          <w:sz w:val="23"/>
          <w:szCs w:val="23"/>
          <w:lang w:eastAsia="fr-BE"/>
          <w14:ligatures w14:val="none"/>
        </w:rPr>
        <w:t>Des craintes concernant le niveau des stocks d’</w:t>
      </w:r>
      <w:r w:rsidRPr="007E5302">
        <w:rPr>
          <w:rFonts w:ascii="Lato" w:eastAsia="Times New Roman" w:hAnsi="Lato" w:cs="Times New Roman"/>
          <w:color w:val="000000"/>
          <w:kern w:val="0"/>
          <w:sz w:val="23"/>
          <w:szCs w:val="23"/>
          <w:u w:val="single"/>
          <w:lang w:eastAsia="fr-BE"/>
          <w14:ligatures w14:val="none"/>
        </w:rPr>
        <w:t>hydroxyde de cobalt</w:t>
      </w:r>
      <w:r w:rsidRPr="007E5302">
        <w:rPr>
          <w:rFonts w:ascii="Lato" w:eastAsia="Times New Roman" w:hAnsi="Lato" w:cs="Times New Roman"/>
          <w:color w:val="000000"/>
          <w:kern w:val="0"/>
          <w:sz w:val="23"/>
          <w:szCs w:val="23"/>
          <w:lang w:eastAsia="fr-BE"/>
          <w14:ligatures w14:val="none"/>
        </w:rPr>
        <w:t> commencent à émerger, alors que deux mois sont passés depuis la suspension des exportations imposée par la République Démocratique du Congo. Certaines affineries chinoises envisagent de ne pas honorer leurs contrats de livraison ou de renégocier les livraisons spot en livraisons à terme, indiquent des sources concordantes. Le manque d’offre en </w:t>
      </w:r>
      <w:r w:rsidRPr="007E5302">
        <w:rPr>
          <w:rFonts w:ascii="Lato" w:eastAsia="Times New Roman" w:hAnsi="Lato" w:cs="Times New Roman"/>
          <w:color w:val="000000"/>
          <w:kern w:val="0"/>
          <w:sz w:val="23"/>
          <w:szCs w:val="23"/>
          <w:u w:val="single"/>
          <w:lang w:eastAsia="fr-BE"/>
          <w14:ligatures w14:val="none"/>
        </w:rPr>
        <w:t>hydroxyde de cobalt</w:t>
      </w:r>
      <w:r w:rsidRPr="007E5302">
        <w:rPr>
          <w:rFonts w:ascii="Lato" w:eastAsia="Times New Roman" w:hAnsi="Lato" w:cs="Times New Roman"/>
          <w:color w:val="000000"/>
          <w:kern w:val="0"/>
          <w:sz w:val="23"/>
          <w:szCs w:val="23"/>
          <w:lang w:eastAsia="fr-BE"/>
          <w14:ligatures w14:val="none"/>
        </w:rPr>
        <w:t xml:space="preserve"> s’explique principalement par les changements des calendriers d’expédition, précisent les affineries. Parallèlement, les négociants jugent que la hausse rapide des cours du cobalt et de l’hydroxyde rend certaines transactions, conclues juste après l’annonce de la suspension, moins profitables que les cours actuels. Les cours de l’hydroxyde ont bondi de 115% depuis la suspension, le 22 février dernier. Certains producteurs ont cherché à limiter les livraisons au strict minimum autorisé par les contrats à long terme. Au moins un producteur a été contraint de déclarer une force majeure </w:t>
      </w:r>
      <w:proofErr w:type="gramStart"/>
      <w:r w:rsidRPr="007E5302">
        <w:rPr>
          <w:rFonts w:ascii="Lato" w:eastAsia="Times New Roman" w:hAnsi="Lato" w:cs="Times New Roman"/>
          <w:color w:val="000000"/>
          <w:kern w:val="0"/>
          <w:sz w:val="23"/>
          <w:szCs w:val="23"/>
          <w:lang w:eastAsia="fr-BE"/>
          <w14:ligatures w14:val="none"/>
        </w:rPr>
        <w:t>suite à</w:t>
      </w:r>
      <w:proofErr w:type="gramEnd"/>
      <w:r w:rsidRPr="007E5302">
        <w:rPr>
          <w:rFonts w:ascii="Lato" w:eastAsia="Times New Roman" w:hAnsi="Lato" w:cs="Times New Roman"/>
          <w:color w:val="000000"/>
          <w:kern w:val="0"/>
          <w:sz w:val="23"/>
          <w:szCs w:val="23"/>
          <w:lang w:eastAsia="fr-BE"/>
          <w14:ligatures w14:val="none"/>
        </w:rPr>
        <w:t xml:space="preserve"> la décision congolaise. Le marché s’inquiète par ailleurs d’une possible prolongation de l’interdiction d’exporter, une décision susceptible d’être annoncée la semaine prochaine. « </w:t>
      </w:r>
      <w:r w:rsidRPr="007E5302">
        <w:rPr>
          <w:rFonts w:ascii="Lato" w:eastAsia="Times New Roman" w:hAnsi="Lato" w:cs="Times New Roman"/>
          <w:i/>
          <w:iCs/>
          <w:color w:val="000000"/>
          <w:kern w:val="0"/>
          <w:sz w:val="23"/>
          <w:szCs w:val="23"/>
          <w:lang w:eastAsia="fr-BE"/>
          <w14:ligatures w14:val="none"/>
        </w:rPr>
        <w:t xml:space="preserve">Le marché s’est emballé dans les deux semaines qui ont suivi l’annonce. </w:t>
      </w:r>
      <w:proofErr w:type="gramStart"/>
      <w:r w:rsidRPr="007E5302">
        <w:rPr>
          <w:rFonts w:ascii="Lato" w:eastAsia="Times New Roman" w:hAnsi="Lato" w:cs="Times New Roman"/>
          <w:i/>
          <w:iCs/>
          <w:color w:val="000000"/>
          <w:kern w:val="0"/>
          <w:sz w:val="23"/>
          <w:szCs w:val="23"/>
          <w:lang w:eastAsia="fr-BE"/>
          <w14:ligatures w14:val="none"/>
        </w:rPr>
        <w:t>Certaines affineries</w:t>
      </w:r>
      <w:proofErr w:type="gramEnd"/>
      <w:r w:rsidRPr="007E5302">
        <w:rPr>
          <w:rFonts w:ascii="Lato" w:eastAsia="Times New Roman" w:hAnsi="Lato" w:cs="Times New Roman"/>
          <w:i/>
          <w:iCs/>
          <w:color w:val="000000"/>
          <w:kern w:val="0"/>
          <w:sz w:val="23"/>
          <w:szCs w:val="23"/>
          <w:lang w:eastAsia="fr-BE"/>
          <w14:ligatures w14:val="none"/>
        </w:rPr>
        <w:t xml:space="preserve"> se sont sans doute laissé entraîner en vendant tout leur stock, et le regrettent maintenant. Il est désormais impossible d’acheter des quantités importantes d’hydroxyde sans débourser des sommes astronomiques </w:t>
      </w:r>
      <w:r w:rsidRPr="007E5302">
        <w:rPr>
          <w:rFonts w:ascii="Lato" w:eastAsia="Times New Roman" w:hAnsi="Lato" w:cs="Times New Roman"/>
          <w:color w:val="000000"/>
          <w:kern w:val="0"/>
          <w:sz w:val="23"/>
          <w:szCs w:val="23"/>
          <w:lang w:eastAsia="fr-BE"/>
          <w14:ligatures w14:val="none"/>
        </w:rPr>
        <w:t>», indique un négociant.</w:t>
      </w:r>
    </w:p>
    <w:p w14:paraId="59891B91" w14:textId="77777777" w:rsidR="007E5302" w:rsidRPr="007E5302" w:rsidRDefault="007E5302" w:rsidP="007E530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E5302">
        <w:rPr>
          <w:rFonts w:ascii="Lato" w:eastAsia="Times New Roman" w:hAnsi="Lato" w:cs="Times New Roman"/>
          <w:color w:val="000000"/>
          <w:kern w:val="0"/>
          <w:sz w:val="23"/>
          <w:szCs w:val="23"/>
          <w:lang w:eastAsia="fr-BE"/>
          <w14:ligatures w14:val="none"/>
        </w:rPr>
        <w:t> </w:t>
      </w:r>
    </w:p>
    <w:p w14:paraId="7BF372DF" w14:textId="77777777" w:rsidR="007E5302" w:rsidRPr="007E5302" w:rsidRDefault="007E5302" w:rsidP="007E530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E5302">
        <w:rPr>
          <w:rFonts w:ascii="Lato" w:eastAsia="Times New Roman" w:hAnsi="Lato" w:cs="Times New Roman"/>
          <w:b/>
          <w:bCs/>
          <w:color w:val="A52A2A"/>
          <w:kern w:val="0"/>
          <w:sz w:val="23"/>
          <w:szCs w:val="23"/>
          <w:lang w:eastAsia="fr-BE"/>
          <w14:ligatures w14:val="none"/>
        </w:rPr>
        <w:t>Antimoine : bond des exportations chinoises en mars</w:t>
      </w:r>
    </w:p>
    <w:p w14:paraId="458AD61D" w14:textId="77777777" w:rsidR="007E5302" w:rsidRPr="007E5302" w:rsidRDefault="007E5302" w:rsidP="007E530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E5302">
        <w:rPr>
          <w:rFonts w:ascii="Lato" w:eastAsia="Times New Roman" w:hAnsi="Lato" w:cs="Times New Roman"/>
          <w:color w:val="000000"/>
          <w:kern w:val="0"/>
          <w:sz w:val="23"/>
          <w:szCs w:val="23"/>
          <w:lang w:eastAsia="fr-BE"/>
          <w14:ligatures w14:val="none"/>
        </w:rPr>
        <w:t>En mars, les exportations chinoises d’</w:t>
      </w:r>
      <w:r w:rsidRPr="007E5302">
        <w:rPr>
          <w:rFonts w:ascii="Lato" w:eastAsia="Times New Roman" w:hAnsi="Lato" w:cs="Times New Roman"/>
          <w:color w:val="000000"/>
          <w:kern w:val="0"/>
          <w:sz w:val="23"/>
          <w:szCs w:val="23"/>
          <w:u w:val="single"/>
          <w:lang w:eastAsia="fr-BE"/>
          <w14:ligatures w14:val="none"/>
        </w:rPr>
        <w:t>antimoine brut</w:t>
      </w:r>
      <w:r w:rsidRPr="007E5302">
        <w:rPr>
          <w:rFonts w:ascii="Lato" w:eastAsia="Times New Roman" w:hAnsi="Lato" w:cs="Times New Roman"/>
          <w:color w:val="000000"/>
          <w:kern w:val="0"/>
          <w:sz w:val="23"/>
          <w:szCs w:val="23"/>
          <w:lang w:eastAsia="fr-BE"/>
          <w14:ligatures w14:val="none"/>
        </w:rPr>
        <w:t> ont bondi à 137.000 kg, soit un niveau supérieur de 585% à celui enregistré en janvier, qui était de 20.000 kg, d’après les chiffres communiqués par les douanes du pays. Après un arrêt total en février, c’est la première fois que le chiffre dépasse le seuil des 100 tonnes depuis la mise en place des restrictions, en septembre 2024. Les volumes exportés en mars ont été expédiés vers quatre destinations : la Thaïlande, le Japon, la Belgique et la Corée du Sud. Malgré cette progression, les exportations restent bien loin de leurs niveaux antérieurs. Les exportations de </w:t>
      </w:r>
      <w:r w:rsidRPr="007E5302">
        <w:rPr>
          <w:rFonts w:ascii="Lato" w:eastAsia="Times New Roman" w:hAnsi="Lato" w:cs="Times New Roman"/>
          <w:color w:val="000000"/>
          <w:kern w:val="0"/>
          <w:sz w:val="23"/>
          <w:szCs w:val="23"/>
          <w:u w:val="single"/>
          <w:lang w:eastAsia="fr-BE"/>
          <w14:ligatures w14:val="none"/>
        </w:rPr>
        <w:t>trioxyde d’antimoine</w:t>
      </w:r>
      <w:r w:rsidRPr="007E5302">
        <w:rPr>
          <w:rFonts w:ascii="Lato" w:eastAsia="Times New Roman" w:hAnsi="Lato" w:cs="Times New Roman"/>
          <w:color w:val="000000"/>
          <w:kern w:val="0"/>
          <w:sz w:val="23"/>
          <w:szCs w:val="23"/>
          <w:lang w:eastAsia="fr-BE"/>
          <w14:ligatures w14:val="none"/>
        </w:rPr>
        <w:t> étaient également orientées à la hausse, à +7,3% en glissement mensuel pour atteindre 901.000 kg en mars, contre 839.426 kg en février. Elles ont été expédiées vers 17 destinations, le Mexique, la Turquie et le Vietnam en tête. Entre janvier et septembre 2024, le volume moyen exporté s’élevait à 426.008 kg pour l’</w:t>
      </w:r>
      <w:r w:rsidRPr="007E5302">
        <w:rPr>
          <w:rFonts w:ascii="Lato" w:eastAsia="Times New Roman" w:hAnsi="Lato" w:cs="Times New Roman"/>
          <w:color w:val="000000"/>
          <w:kern w:val="0"/>
          <w:sz w:val="23"/>
          <w:szCs w:val="23"/>
          <w:u w:val="single"/>
          <w:lang w:eastAsia="fr-BE"/>
          <w14:ligatures w14:val="none"/>
        </w:rPr>
        <w:t>antimoine</w:t>
      </w:r>
      <w:r w:rsidRPr="007E5302">
        <w:rPr>
          <w:rFonts w:ascii="Lato" w:eastAsia="Times New Roman" w:hAnsi="Lato" w:cs="Times New Roman"/>
          <w:color w:val="000000"/>
          <w:kern w:val="0"/>
          <w:sz w:val="23"/>
          <w:szCs w:val="23"/>
          <w:lang w:eastAsia="fr-BE"/>
          <w14:ligatures w14:val="none"/>
        </w:rPr>
        <w:t> et 3.114.683 kg pour le </w:t>
      </w:r>
      <w:r w:rsidRPr="007E5302">
        <w:rPr>
          <w:rFonts w:ascii="Lato" w:eastAsia="Times New Roman" w:hAnsi="Lato" w:cs="Times New Roman"/>
          <w:color w:val="000000"/>
          <w:kern w:val="0"/>
          <w:sz w:val="23"/>
          <w:szCs w:val="23"/>
          <w:u w:val="single"/>
          <w:lang w:eastAsia="fr-BE"/>
          <w14:ligatures w14:val="none"/>
        </w:rPr>
        <w:t>trioxyde d’antimoine</w:t>
      </w:r>
      <w:r w:rsidRPr="007E5302">
        <w:rPr>
          <w:rFonts w:ascii="Lato" w:eastAsia="Times New Roman" w:hAnsi="Lato" w:cs="Times New Roman"/>
          <w:color w:val="000000"/>
          <w:kern w:val="0"/>
          <w:sz w:val="23"/>
          <w:szCs w:val="23"/>
          <w:lang w:eastAsia="fr-BE"/>
          <w14:ligatures w14:val="none"/>
        </w:rPr>
        <w:t>.  « </w:t>
      </w:r>
      <w:r w:rsidRPr="007E5302">
        <w:rPr>
          <w:rFonts w:ascii="Lato" w:eastAsia="Times New Roman" w:hAnsi="Lato" w:cs="Times New Roman"/>
          <w:i/>
          <w:iCs/>
          <w:color w:val="000000"/>
          <w:kern w:val="0"/>
          <w:sz w:val="23"/>
          <w:szCs w:val="23"/>
          <w:lang w:eastAsia="fr-BE"/>
          <w14:ligatures w14:val="none"/>
        </w:rPr>
        <w:t>Ces 137 tonnes sont un signe positif, mais le volume reste très limité et ne permet pas de changer la donne du côté de l’offre. Nous attendons de voir comment les choses évoluent </w:t>
      </w:r>
      <w:r w:rsidRPr="007E5302">
        <w:rPr>
          <w:rFonts w:ascii="Lato" w:eastAsia="Times New Roman" w:hAnsi="Lato" w:cs="Times New Roman"/>
          <w:color w:val="000000"/>
          <w:kern w:val="0"/>
          <w:sz w:val="23"/>
          <w:szCs w:val="23"/>
          <w:lang w:eastAsia="fr-BE"/>
          <w14:ligatures w14:val="none"/>
        </w:rPr>
        <w:t>», indique un acheteur. Un négociant indique, quant à lui, que les contrôles douaniers sont devenus plus stricts et plus longs ; ils prennent maintenant deux mois.</w:t>
      </w:r>
    </w:p>
    <w:p w14:paraId="7A44EF2C" w14:textId="77777777" w:rsidR="007E5302" w:rsidRPr="007E5302" w:rsidRDefault="007E5302" w:rsidP="007E530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E5302">
        <w:rPr>
          <w:rFonts w:ascii="Lato" w:eastAsia="Times New Roman" w:hAnsi="Lato" w:cs="Times New Roman"/>
          <w:color w:val="000000"/>
          <w:kern w:val="0"/>
          <w:sz w:val="23"/>
          <w:szCs w:val="23"/>
          <w:lang w:eastAsia="fr-BE"/>
          <w14:ligatures w14:val="none"/>
        </w:rPr>
        <w:t> </w:t>
      </w:r>
    </w:p>
    <w:p w14:paraId="4198669E" w14:textId="77777777" w:rsidR="007E5302" w:rsidRPr="007E5302" w:rsidRDefault="007E5302" w:rsidP="007E530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E5302">
        <w:rPr>
          <w:rFonts w:ascii="Lato" w:eastAsia="Times New Roman" w:hAnsi="Lato" w:cs="Times New Roman"/>
          <w:b/>
          <w:bCs/>
          <w:color w:val="A52A2A"/>
          <w:kern w:val="0"/>
          <w:sz w:val="23"/>
          <w:szCs w:val="23"/>
          <w:lang w:eastAsia="fr-BE"/>
          <w14:ligatures w14:val="none"/>
        </w:rPr>
        <w:t>Spodumène : AMG devrait bientôt produire au Portugal</w:t>
      </w:r>
    </w:p>
    <w:p w14:paraId="0EA58A27" w14:textId="77777777" w:rsidR="007E5302" w:rsidRPr="007E5302" w:rsidRDefault="007E5302" w:rsidP="007E5302">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7E5302">
        <w:rPr>
          <w:rFonts w:ascii="Lato" w:eastAsia="Times New Roman" w:hAnsi="Lato" w:cs="Times New Roman"/>
          <w:b/>
          <w:bCs/>
          <w:color w:val="000000"/>
          <w:kern w:val="0"/>
          <w:sz w:val="23"/>
          <w:szCs w:val="23"/>
          <w:lang w:eastAsia="fr-BE"/>
          <w14:ligatures w14:val="none"/>
        </w:rPr>
        <w:t>AMG Lithium BV</w:t>
      </w:r>
      <w:r w:rsidRPr="007E5302">
        <w:rPr>
          <w:rFonts w:ascii="Lato" w:eastAsia="Times New Roman" w:hAnsi="Lato" w:cs="Times New Roman"/>
          <w:color w:val="000000"/>
          <w:kern w:val="0"/>
          <w:sz w:val="23"/>
          <w:szCs w:val="23"/>
          <w:lang w:eastAsia="fr-BE"/>
          <w14:ligatures w14:val="none"/>
        </w:rPr>
        <w:t>, filiale d’</w:t>
      </w:r>
      <w:r w:rsidRPr="007E5302">
        <w:rPr>
          <w:rFonts w:ascii="Lato" w:eastAsia="Times New Roman" w:hAnsi="Lato" w:cs="Times New Roman"/>
          <w:b/>
          <w:bCs/>
          <w:color w:val="000000"/>
          <w:kern w:val="0"/>
          <w:sz w:val="23"/>
          <w:szCs w:val="23"/>
          <w:lang w:eastAsia="fr-BE"/>
          <w14:ligatures w14:val="none"/>
        </w:rPr>
        <w:t>AMG Critical Materials </w:t>
      </w:r>
      <w:r w:rsidRPr="007E5302">
        <w:rPr>
          <w:rFonts w:ascii="Lato" w:eastAsia="Times New Roman" w:hAnsi="Lato" w:cs="Times New Roman"/>
          <w:color w:val="000000"/>
          <w:kern w:val="0"/>
          <w:sz w:val="23"/>
          <w:szCs w:val="23"/>
          <w:lang w:eastAsia="fr-BE"/>
          <w14:ligatures w14:val="none"/>
        </w:rPr>
        <w:t>(</w:t>
      </w:r>
      <w:r w:rsidRPr="007E5302">
        <w:rPr>
          <w:rFonts w:ascii="Lato" w:eastAsia="Times New Roman" w:hAnsi="Lato" w:cs="Times New Roman"/>
          <w:b/>
          <w:bCs/>
          <w:color w:val="000000"/>
          <w:kern w:val="0"/>
          <w:sz w:val="23"/>
          <w:szCs w:val="23"/>
          <w:lang w:eastAsia="fr-BE"/>
          <w14:ligatures w14:val="none"/>
        </w:rPr>
        <w:t>AMG</w:t>
      </w:r>
      <w:r w:rsidRPr="007E5302">
        <w:rPr>
          <w:rFonts w:ascii="Lato" w:eastAsia="Times New Roman" w:hAnsi="Lato" w:cs="Times New Roman"/>
          <w:color w:val="000000"/>
          <w:kern w:val="0"/>
          <w:sz w:val="23"/>
          <w:szCs w:val="23"/>
          <w:lang w:eastAsia="fr-BE"/>
          <w14:ligatures w14:val="none"/>
        </w:rPr>
        <w:t>), et le groupe minier </w:t>
      </w:r>
      <w:r w:rsidRPr="007E5302">
        <w:rPr>
          <w:rFonts w:ascii="Lato" w:eastAsia="Times New Roman" w:hAnsi="Lato" w:cs="Times New Roman"/>
          <w:b/>
          <w:bCs/>
          <w:color w:val="000000"/>
          <w:kern w:val="0"/>
          <w:sz w:val="23"/>
          <w:szCs w:val="23"/>
          <w:lang w:eastAsia="fr-BE"/>
          <w14:ligatures w14:val="none"/>
        </w:rPr>
        <w:t xml:space="preserve">Grupo </w:t>
      </w:r>
      <w:proofErr w:type="spellStart"/>
      <w:r w:rsidRPr="007E5302">
        <w:rPr>
          <w:rFonts w:ascii="Lato" w:eastAsia="Times New Roman" w:hAnsi="Lato" w:cs="Times New Roman"/>
          <w:b/>
          <w:bCs/>
          <w:color w:val="000000"/>
          <w:kern w:val="0"/>
          <w:sz w:val="23"/>
          <w:szCs w:val="23"/>
          <w:lang w:eastAsia="fr-BE"/>
          <w14:ligatures w14:val="none"/>
        </w:rPr>
        <w:t>Lagoa</w:t>
      </w:r>
      <w:proofErr w:type="spellEnd"/>
      <w:r w:rsidRPr="007E5302">
        <w:rPr>
          <w:rFonts w:ascii="Lato" w:eastAsia="Times New Roman" w:hAnsi="Lato" w:cs="Times New Roman"/>
          <w:b/>
          <w:bCs/>
          <w:color w:val="000000"/>
          <w:kern w:val="0"/>
          <w:sz w:val="23"/>
          <w:szCs w:val="23"/>
          <w:lang w:eastAsia="fr-BE"/>
          <w14:ligatures w14:val="none"/>
        </w:rPr>
        <w:t> </w:t>
      </w:r>
      <w:r w:rsidRPr="007E5302">
        <w:rPr>
          <w:rFonts w:ascii="Lato" w:eastAsia="Times New Roman" w:hAnsi="Lato" w:cs="Times New Roman"/>
          <w:color w:val="000000"/>
          <w:kern w:val="0"/>
          <w:sz w:val="23"/>
          <w:szCs w:val="23"/>
          <w:lang w:eastAsia="fr-BE"/>
          <w14:ligatures w14:val="none"/>
        </w:rPr>
        <w:t>ont signé un accord en vue de construire un site de production de </w:t>
      </w:r>
      <w:r w:rsidRPr="007E5302">
        <w:rPr>
          <w:rFonts w:ascii="Lato" w:eastAsia="Times New Roman" w:hAnsi="Lato" w:cs="Times New Roman"/>
          <w:color w:val="000000"/>
          <w:kern w:val="0"/>
          <w:sz w:val="23"/>
          <w:szCs w:val="23"/>
          <w:u w:val="single"/>
          <w:lang w:eastAsia="fr-BE"/>
          <w14:ligatures w14:val="none"/>
        </w:rPr>
        <w:t xml:space="preserve">concentrés de </w:t>
      </w:r>
      <w:r w:rsidRPr="007E5302">
        <w:rPr>
          <w:rFonts w:ascii="Lato" w:eastAsia="Times New Roman" w:hAnsi="Lato" w:cs="Times New Roman"/>
          <w:color w:val="000000"/>
          <w:kern w:val="0"/>
          <w:sz w:val="23"/>
          <w:szCs w:val="23"/>
          <w:u w:val="single"/>
          <w:lang w:eastAsia="fr-BE"/>
          <w14:ligatures w14:val="none"/>
        </w:rPr>
        <w:lastRenderedPageBreak/>
        <w:t>spodumène</w:t>
      </w:r>
      <w:r w:rsidRPr="007E5302">
        <w:rPr>
          <w:rFonts w:ascii="Lato" w:eastAsia="Times New Roman" w:hAnsi="Lato" w:cs="Times New Roman"/>
          <w:color w:val="000000"/>
          <w:kern w:val="0"/>
          <w:sz w:val="23"/>
          <w:szCs w:val="23"/>
          <w:lang w:eastAsia="fr-BE"/>
          <w14:ligatures w14:val="none"/>
        </w:rPr>
        <w:t>, utilisés pour produire du lithium, au Portugal. Il s’agira du premier site du genre en Europe, et sa capacité initiale annuelle s’élèvera à 8.000-9.000 tonnes d’ici au premier semestre 2027, si les autorisations gouvernementales sont obtenues.</w:t>
      </w:r>
    </w:p>
    <w:p w14:paraId="7DAB3D5F"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02"/>
    <w:rsid w:val="00287462"/>
    <w:rsid w:val="007E5302"/>
    <w:rsid w:val="00DA38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C0EC"/>
  <w15:chartTrackingRefBased/>
  <w15:docId w15:val="{AFAFDBDA-B9A4-46E3-85CF-E8FA5D79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E5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5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530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530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530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53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53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53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53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530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530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530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530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530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53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53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53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5302"/>
    <w:rPr>
      <w:rFonts w:eastAsiaTheme="majorEastAsia" w:cstheme="majorBidi"/>
      <w:color w:val="272727" w:themeColor="text1" w:themeTint="D8"/>
    </w:rPr>
  </w:style>
  <w:style w:type="paragraph" w:styleId="Titre">
    <w:name w:val="Title"/>
    <w:basedOn w:val="Normal"/>
    <w:next w:val="Normal"/>
    <w:link w:val="TitreCar"/>
    <w:uiPriority w:val="10"/>
    <w:qFormat/>
    <w:rsid w:val="007E5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53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53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53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5302"/>
    <w:pPr>
      <w:spacing w:before="160"/>
      <w:jc w:val="center"/>
    </w:pPr>
    <w:rPr>
      <w:i/>
      <w:iCs/>
      <w:color w:val="404040" w:themeColor="text1" w:themeTint="BF"/>
    </w:rPr>
  </w:style>
  <w:style w:type="character" w:customStyle="1" w:styleId="CitationCar">
    <w:name w:val="Citation Car"/>
    <w:basedOn w:val="Policepardfaut"/>
    <w:link w:val="Citation"/>
    <w:uiPriority w:val="29"/>
    <w:rsid w:val="007E5302"/>
    <w:rPr>
      <w:i/>
      <w:iCs/>
      <w:color w:val="404040" w:themeColor="text1" w:themeTint="BF"/>
    </w:rPr>
  </w:style>
  <w:style w:type="paragraph" w:styleId="Paragraphedeliste">
    <w:name w:val="List Paragraph"/>
    <w:basedOn w:val="Normal"/>
    <w:uiPriority w:val="34"/>
    <w:qFormat/>
    <w:rsid w:val="007E5302"/>
    <w:pPr>
      <w:ind w:left="720"/>
      <w:contextualSpacing/>
    </w:pPr>
  </w:style>
  <w:style w:type="character" w:styleId="Accentuationintense">
    <w:name w:val="Intense Emphasis"/>
    <w:basedOn w:val="Policepardfaut"/>
    <w:uiPriority w:val="21"/>
    <w:qFormat/>
    <w:rsid w:val="007E5302"/>
    <w:rPr>
      <w:i/>
      <w:iCs/>
      <w:color w:val="0F4761" w:themeColor="accent1" w:themeShade="BF"/>
    </w:rPr>
  </w:style>
  <w:style w:type="paragraph" w:styleId="Citationintense">
    <w:name w:val="Intense Quote"/>
    <w:basedOn w:val="Normal"/>
    <w:next w:val="Normal"/>
    <w:link w:val="CitationintenseCar"/>
    <w:uiPriority w:val="30"/>
    <w:qFormat/>
    <w:rsid w:val="007E5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5302"/>
    <w:rPr>
      <w:i/>
      <w:iCs/>
      <w:color w:val="0F4761" w:themeColor="accent1" w:themeShade="BF"/>
    </w:rPr>
  </w:style>
  <w:style w:type="character" w:styleId="Rfrenceintense">
    <w:name w:val="Intense Reference"/>
    <w:basedOn w:val="Policepardfaut"/>
    <w:uiPriority w:val="32"/>
    <w:qFormat/>
    <w:rsid w:val="007E53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2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3130</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2025-04-28T13:32:00Z</dcterms:created>
  <dcterms:modified xsi:type="dcterms:W3CDTF">2025-04-28T13:33:00Z</dcterms:modified>
</cp:coreProperties>
</file>